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382" w:rsidRPr="00493FE4" w:rsidRDefault="000237D8" w:rsidP="00493FE4">
      <w:pPr>
        <w:spacing w:line="480" w:lineRule="auto"/>
        <w:rPr>
          <w:rFonts w:ascii="Times New Roman" w:hAnsi="Times New Roman" w:cs="Times New Roman"/>
          <w:sz w:val="24"/>
          <w:szCs w:val="24"/>
        </w:rPr>
      </w:pPr>
      <w:r>
        <w:rPr>
          <w:rFonts w:ascii="Times New Roman" w:hAnsi="Times New Roman" w:cs="Times New Roman"/>
          <w:sz w:val="24"/>
          <w:szCs w:val="24"/>
        </w:rPr>
        <w:tab/>
      </w:r>
    </w:p>
    <w:p w:rsidR="002776F1" w:rsidRPr="00493FE4" w:rsidRDefault="00D34ECF" w:rsidP="00493FE4">
      <w:pPr>
        <w:spacing w:line="480" w:lineRule="auto"/>
        <w:rPr>
          <w:rFonts w:ascii="Times New Roman" w:hAnsi="Times New Roman" w:cs="Times New Roman"/>
          <w:sz w:val="24"/>
          <w:szCs w:val="24"/>
        </w:rPr>
      </w:pPr>
    </w:p>
    <w:p w:rsidR="002776F1" w:rsidRPr="00493FE4" w:rsidRDefault="00D34ECF" w:rsidP="00493FE4">
      <w:pPr>
        <w:spacing w:line="480" w:lineRule="auto"/>
        <w:rPr>
          <w:rFonts w:ascii="Times New Roman" w:hAnsi="Times New Roman" w:cs="Times New Roman"/>
          <w:sz w:val="24"/>
          <w:szCs w:val="24"/>
        </w:rPr>
      </w:pPr>
    </w:p>
    <w:p w:rsidR="002776F1" w:rsidRPr="00493FE4" w:rsidRDefault="00D34ECF" w:rsidP="00493FE4">
      <w:pPr>
        <w:spacing w:line="480" w:lineRule="auto"/>
        <w:rPr>
          <w:rFonts w:ascii="Times New Roman" w:hAnsi="Times New Roman" w:cs="Times New Roman"/>
          <w:sz w:val="24"/>
          <w:szCs w:val="24"/>
        </w:rPr>
      </w:pPr>
    </w:p>
    <w:p w:rsidR="002776F1" w:rsidRPr="00493FE4" w:rsidRDefault="00D34ECF" w:rsidP="00493FE4">
      <w:pPr>
        <w:spacing w:line="480" w:lineRule="auto"/>
        <w:rPr>
          <w:rFonts w:ascii="Times New Roman" w:hAnsi="Times New Roman" w:cs="Times New Roman"/>
          <w:sz w:val="24"/>
          <w:szCs w:val="24"/>
        </w:rPr>
      </w:pPr>
    </w:p>
    <w:p w:rsidR="002776F1" w:rsidRPr="00493FE4" w:rsidRDefault="00D34ECF" w:rsidP="00493FE4">
      <w:pPr>
        <w:spacing w:line="480" w:lineRule="auto"/>
        <w:rPr>
          <w:rFonts w:ascii="Times New Roman" w:hAnsi="Times New Roman" w:cs="Times New Roman"/>
          <w:sz w:val="24"/>
          <w:szCs w:val="24"/>
        </w:rPr>
      </w:pPr>
    </w:p>
    <w:p w:rsidR="002776F1" w:rsidRPr="00493FE4" w:rsidRDefault="00D34ECF" w:rsidP="00493FE4">
      <w:pPr>
        <w:spacing w:line="480" w:lineRule="auto"/>
        <w:rPr>
          <w:rFonts w:ascii="Times New Roman" w:hAnsi="Times New Roman" w:cs="Times New Roman"/>
          <w:sz w:val="24"/>
          <w:szCs w:val="24"/>
        </w:rPr>
      </w:pPr>
    </w:p>
    <w:p w:rsidR="002776F1" w:rsidRPr="00493FE4" w:rsidRDefault="000237D8" w:rsidP="00493FE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PICOT Questions</w:t>
      </w:r>
    </w:p>
    <w:p w:rsidR="00BC508B" w:rsidRPr="00493FE4" w:rsidRDefault="000237D8"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Name</w:t>
      </w:r>
    </w:p>
    <w:p w:rsidR="00BC508B" w:rsidRPr="00493FE4" w:rsidRDefault="000237D8" w:rsidP="00493FE4">
      <w:pPr>
        <w:spacing w:line="480" w:lineRule="auto"/>
        <w:jc w:val="center"/>
        <w:rPr>
          <w:rFonts w:ascii="Times New Roman" w:hAnsi="Times New Roman" w:cs="Times New Roman"/>
          <w:color w:val="222222"/>
          <w:sz w:val="24"/>
          <w:szCs w:val="24"/>
          <w:shd w:val="clear" w:color="auto" w:fill="FFFFFF"/>
        </w:rPr>
      </w:pPr>
      <w:r w:rsidRPr="00493FE4">
        <w:rPr>
          <w:rFonts w:ascii="Times New Roman" w:hAnsi="Times New Roman" w:cs="Times New Roman"/>
          <w:color w:val="222222"/>
          <w:sz w:val="24"/>
          <w:szCs w:val="24"/>
          <w:shd w:val="clear" w:color="auto" w:fill="FFFFFF"/>
        </w:rPr>
        <w:t>Institution</w:t>
      </w:r>
    </w:p>
    <w:p w:rsidR="00CB5077" w:rsidRPr="00493FE4" w:rsidRDefault="00D34ECF"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D34ECF"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D34ECF"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D34ECF" w:rsidP="00493FE4">
      <w:pPr>
        <w:spacing w:line="480" w:lineRule="auto"/>
        <w:jc w:val="center"/>
        <w:rPr>
          <w:rFonts w:ascii="Times New Roman" w:hAnsi="Times New Roman" w:cs="Times New Roman"/>
          <w:color w:val="222222"/>
          <w:sz w:val="24"/>
          <w:szCs w:val="24"/>
          <w:shd w:val="clear" w:color="auto" w:fill="FFFFFF"/>
        </w:rPr>
      </w:pPr>
    </w:p>
    <w:p w:rsidR="00CB5077" w:rsidRPr="00493FE4" w:rsidRDefault="00D34ECF" w:rsidP="00493FE4">
      <w:pPr>
        <w:spacing w:line="480" w:lineRule="auto"/>
        <w:jc w:val="center"/>
        <w:rPr>
          <w:rFonts w:ascii="Times New Roman" w:hAnsi="Times New Roman" w:cs="Times New Roman"/>
          <w:color w:val="222222"/>
          <w:sz w:val="24"/>
          <w:szCs w:val="24"/>
          <w:shd w:val="clear" w:color="auto" w:fill="FFFFFF"/>
        </w:rPr>
      </w:pPr>
    </w:p>
    <w:p w:rsidR="00336361" w:rsidRDefault="000237D8">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CB5077" w:rsidRDefault="000237D8" w:rsidP="0082053D">
      <w:pPr>
        <w:pStyle w:val="NormalWeb"/>
        <w:shd w:val="clear" w:color="auto" w:fill="FFFFFF"/>
        <w:spacing w:after="0" w:line="480" w:lineRule="auto"/>
        <w:jc w:val="center"/>
        <w:rPr>
          <w:b/>
          <w:i/>
          <w:color w:val="333333"/>
        </w:rPr>
      </w:pPr>
      <w:r>
        <w:rPr>
          <w:b/>
          <w:color w:val="333333"/>
        </w:rPr>
        <w:lastRenderedPageBreak/>
        <w:t xml:space="preserve">Introduction </w:t>
      </w:r>
    </w:p>
    <w:p w:rsidR="0082053D" w:rsidRDefault="000237D8" w:rsidP="004743DC">
      <w:pPr>
        <w:pStyle w:val="NormalWeb"/>
        <w:shd w:val="clear" w:color="auto" w:fill="FFFFFF"/>
        <w:spacing w:after="0" w:line="480" w:lineRule="auto"/>
        <w:ind w:firstLine="720"/>
        <w:rPr>
          <w:color w:val="333333"/>
        </w:rPr>
      </w:pPr>
      <w:r>
        <w:rPr>
          <w:color w:val="333333"/>
        </w:rPr>
        <w:t xml:space="preserve">The topic selected for this research is healthcare acquired infections, which seeks to address the modes in which patients become vulnerable to infections while undergoing treatment. </w:t>
      </w:r>
      <w:r w:rsidR="00BE1042">
        <w:rPr>
          <w:color w:val="333333"/>
        </w:rPr>
        <w:t>This summary will give a response to the PICOT questions chosen for this research.</w:t>
      </w:r>
      <w:r>
        <w:rPr>
          <w:color w:val="333333"/>
        </w:rPr>
        <w:t xml:space="preserve"> The questions have to be direct and relevant to the prevalent situation, while they need to be framed in a way that can facilitate the process of searching for answers. </w:t>
      </w:r>
      <w:r w:rsidR="003300B8">
        <w:rPr>
          <w:color w:val="333333"/>
        </w:rPr>
        <w:t>In this r</w:t>
      </w:r>
      <w:r w:rsidR="00507B21">
        <w:rPr>
          <w:color w:val="333333"/>
        </w:rPr>
        <w:t xml:space="preserve">egard, this paper will show that answering the PICOT questions can help in determining the viability of the intervention programs. </w:t>
      </w:r>
    </w:p>
    <w:p w:rsidR="004743DC" w:rsidRPr="004743DC" w:rsidRDefault="000237D8" w:rsidP="004743DC">
      <w:pPr>
        <w:pStyle w:val="NormalWeb"/>
        <w:shd w:val="clear" w:color="auto" w:fill="FFFFFF"/>
        <w:spacing w:after="0" w:line="480" w:lineRule="auto"/>
        <w:ind w:firstLine="720"/>
        <w:jc w:val="center"/>
        <w:rPr>
          <w:b/>
          <w:color w:val="333333"/>
        </w:rPr>
      </w:pPr>
      <w:r w:rsidRPr="004743DC">
        <w:rPr>
          <w:b/>
          <w:color w:val="333333"/>
        </w:rPr>
        <w:t>Background Information</w:t>
      </w:r>
    </w:p>
    <w:p w:rsidR="004743DC" w:rsidRDefault="000237D8" w:rsidP="004743DC">
      <w:pPr>
        <w:pStyle w:val="NormalWeb"/>
        <w:shd w:val="clear" w:color="auto" w:fill="FFFFFF"/>
        <w:spacing w:after="0" w:line="480" w:lineRule="auto"/>
        <w:ind w:firstLine="720"/>
        <w:rPr>
          <w:color w:val="333333"/>
        </w:rPr>
      </w:pPr>
      <w:r>
        <w:rPr>
          <w:color w:val="333333"/>
        </w:rPr>
        <w:t xml:space="preserve">Healthcare-acquired infections result from exposure to disease-causing microorganisms at the healthcare facilities. </w:t>
      </w:r>
      <w:r w:rsidR="00BE1042">
        <w:rPr>
          <w:color w:val="333333"/>
        </w:rPr>
        <w:t>In responding to the PICOT questions related to the healthcare-acquired infections, it is vital to understand the major causes of these infections</w:t>
      </w:r>
      <w:r w:rsidR="00507B21">
        <w:rPr>
          <w:color w:val="333333"/>
        </w:rPr>
        <w:t xml:space="preserve"> (</w:t>
      </w:r>
      <w:r w:rsidR="00507B21">
        <w:rPr>
          <w:color w:val="222222"/>
          <w:shd w:val="clear" w:color="auto" w:fill="FFFFFF"/>
        </w:rPr>
        <w:t xml:space="preserve">Patterson et al., </w:t>
      </w:r>
      <w:r w:rsidR="00507B21" w:rsidRPr="00A2511A">
        <w:rPr>
          <w:color w:val="222222"/>
          <w:shd w:val="clear" w:color="auto" w:fill="FFFFFF"/>
        </w:rPr>
        <w:t>2017).</w:t>
      </w:r>
      <w:r w:rsidR="00BE1042">
        <w:rPr>
          <w:color w:val="333333"/>
        </w:rPr>
        <w:t xml:space="preserve"> It is evident that at the healthcare facilities, there is a high probability of contacting the disease causing microorganisms, which increases the vulnerability of contacting diseases. Some of the causes of hospital acquired infections have been known to include low levels of hygiene, improper medication procedures and contact with infected persons.</w:t>
      </w:r>
    </w:p>
    <w:p w:rsidR="006D510F" w:rsidRPr="00136C49" w:rsidRDefault="00BE1042" w:rsidP="006D510F">
      <w:pPr>
        <w:pStyle w:val="NormalWeb"/>
        <w:shd w:val="clear" w:color="auto" w:fill="FFFFFF"/>
        <w:spacing w:after="0" w:line="480" w:lineRule="auto"/>
        <w:ind w:firstLine="720"/>
        <w:jc w:val="center"/>
        <w:rPr>
          <w:b/>
          <w:color w:val="333333"/>
        </w:rPr>
      </w:pPr>
      <w:r>
        <w:rPr>
          <w:b/>
          <w:color w:val="333333"/>
        </w:rPr>
        <w:t xml:space="preserve">Response to the </w:t>
      </w:r>
      <w:r w:rsidR="000237D8" w:rsidRPr="00136C49">
        <w:rPr>
          <w:b/>
          <w:color w:val="333333"/>
        </w:rPr>
        <w:t>Sample Questions</w:t>
      </w:r>
    </w:p>
    <w:p w:rsidR="006D510F" w:rsidRDefault="004B205E" w:rsidP="006D510F">
      <w:pPr>
        <w:pStyle w:val="NormalWeb"/>
        <w:shd w:val="clear" w:color="auto" w:fill="FFFFFF"/>
        <w:spacing w:after="0" w:line="480" w:lineRule="auto"/>
        <w:ind w:firstLine="720"/>
        <w:rPr>
          <w:color w:val="333333"/>
        </w:rPr>
      </w:pPr>
      <w:r>
        <w:rPr>
          <w:color w:val="333333"/>
        </w:rPr>
        <w:t>The first question is</w:t>
      </w:r>
      <w:r w:rsidR="000237D8">
        <w:rPr>
          <w:color w:val="333333"/>
        </w:rPr>
        <w:t xml:space="preserve"> "Does washing hands among healthcare practitioners reduce vulnerability to healthcare-acquired infections?" </w:t>
      </w:r>
      <w:r w:rsidR="00BE1042">
        <w:rPr>
          <w:color w:val="333333"/>
        </w:rPr>
        <w:t xml:space="preserve">in responding to this question, it is vital to analyze the causes of the hospital acquired infections. In this regard, possible contact with germs can increase the rate of infection. This implies that washing hands is a hygienic practice that can help in reducing the levels of infection. </w:t>
      </w:r>
      <w:r>
        <w:rPr>
          <w:color w:val="333333"/>
        </w:rPr>
        <w:t xml:space="preserve">Washing of hands helps in ridding off the pathogens </w:t>
      </w:r>
      <w:r>
        <w:rPr>
          <w:color w:val="333333"/>
        </w:rPr>
        <w:lastRenderedPageBreak/>
        <w:t>from the hands</w:t>
      </w:r>
      <w:r w:rsidR="00507B21">
        <w:rPr>
          <w:color w:val="333333"/>
        </w:rPr>
        <w:t xml:space="preserve"> (</w:t>
      </w:r>
      <w:r w:rsidR="00507B21">
        <w:rPr>
          <w:color w:val="222222"/>
          <w:shd w:val="clear" w:color="auto" w:fill="FFFFFF"/>
        </w:rPr>
        <w:t xml:space="preserve">Patterson et al., </w:t>
      </w:r>
      <w:r w:rsidR="00507B21" w:rsidRPr="00A2511A">
        <w:rPr>
          <w:color w:val="222222"/>
          <w:shd w:val="clear" w:color="auto" w:fill="FFFFFF"/>
        </w:rPr>
        <w:t>2017)</w:t>
      </w:r>
      <w:r>
        <w:rPr>
          <w:color w:val="333333"/>
        </w:rPr>
        <w:t xml:space="preserve">. Moreover, washing hands helps in reducing the levels of contact with harmful germs. </w:t>
      </w:r>
    </w:p>
    <w:p w:rsidR="00507B21" w:rsidRDefault="000237D8" w:rsidP="00136C49">
      <w:pPr>
        <w:pStyle w:val="NormalWeb"/>
        <w:shd w:val="clear" w:color="auto" w:fill="FFFFFF"/>
        <w:spacing w:after="0" w:line="480" w:lineRule="auto"/>
        <w:ind w:firstLine="720"/>
        <w:rPr>
          <w:color w:val="333333"/>
        </w:rPr>
      </w:pPr>
      <w:r>
        <w:rPr>
          <w:color w:val="333333"/>
        </w:rPr>
        <w:t xml:space="preserve">The second question is, “Among the ICU patients, does the use of </w:t>
      </w:r>
      <w:r w:rsidR="00F478FE">
        <w:rPr>
          <w:color w:val="333333"/>
        </w:rPr>
        <w:t>antiseptics</w:t>
      </w:r>
      <w:r>
        <w:rPr>
          <w:color w:val="333333"/>
        </w:rPr>
        <w:t xml:space="preserve"> reduce the prevalence of urinary tract infection as compared to the use of catheter insertions?” </w:t>
      </w:r>
      <w:r w:rsidR="00BE1042">
        <w:rPr>
          <w:color w:val="333333"/>
        </w:rPr>
        <w:t>It is evident that most of the patients acquire associated urinary tract infections due to the accumulation of bacteria in the catheter. This implies that alternative methods such as the use of ultras</w:t>
      </w:r>
      <w:r w:rsidR="00F478FE">
        <w:rPr>
          <w:color w:val="333333"/>
        </w:rPr>
        <w:t xml:space="preserve">ound can help reduce the vulnerability to all forms of infection </w:t>
      </w:r>
      <w:r>
        <w:rPr>
          <w:color w:val="333333"/>
        </w:rPr>
        <w:t>(</w:t>
      </w:r>
      <w:proofErr w:type="spellStart"/>
      <w:r w:rsidRPr="00A2511A">
        <w:rPr>
          <w:color w:val="222222"/>
          <w:shd w:val="clear" w:color="auto" w:fill="FFFFFF"/>
        </w:rPr>
        <w:t>Znaidi</w:t>
      </w:r>
      <w:proofErr w:type="spellEnd"/>
      <w:r>
        <w:rPr>
          <w:color w:val="222222"/>
          <w:shd w:val="clear" w:color="auto" w:fill="FFFFFF"/>
        </w:rPr>
        <w:t xml:space="preserve"> et al., </w:t>
      </w:r>
      <w:r w:rsidRPr="00A2511A">
        <w:rPr>
          <w:color w:val="222222"/>
          <w:shd w:val="clear" w:color="auto" w:fill="FFFFFF"/>
        </w:rPr>
        <w:t>2015</w:t>
      </w:r>
      <w:r>
        <w:rPr>
          <w:color w:val="222222"/>
          <w:shd w:val="clear" w:color="auto" w:fill="FFFFFF"/>
        </w:rPr>
        <w:t>)</w:t>
      </w:r>
      <w:r>
        <w:rPr>
          <w:color w:val="333333"/>
        </w:rPr>
        <w:t xml:space="preserve">. </w:t>
      </w:r>
      <w:r w:rsidR="00F478FE">
        <w:rPr>
          <w:color w:val="333333"/>
        </w:rPr>
        <w:t xml:space="preserve">The use of antiseptics such as </w:t>
      </w:r>
      <w:proofErr w:type="spellStart"/>
      <w:r w:rsidR="00F478FE">
        <w:rPr>
          <w:color w:val="333333"/>
        </w:rPr>
        <w:t>methenamine</w:t>
      </w:r>
      <w:proofErr w:type="spellEnd"/>
      <w:r w:rsidR="00F478FE">
        <w:rPr>
          <w:color w:val="333333"/>
        </w:rPr>
        <w:t xml:space="preserve"> </w:t>
      </w:r>
      <w:r w:rsidR="004B205E">
        <w:rPr>
          <w:color w:val="333333"/>
        </w:rPr>
        <w:t xml:space="preserve">can help reduce the effects of the catheter infections. </w:t>
      </w:r>
    </w:p>
    <w:p w:rsidR="00136C49" w:rsidRDefault="000237D8" w:rsidP="00136C49">
      <w:pPr>
        <w:pStyle w:val="NormalWeb"/>
        <w:shd w:val="clear" w:color="auto" w:fill="FFFFFF"/>
        <w:spacing w:after="0" w:line="480" w:lineRule="auto"/>
        <w:ind w:firstLine="720"/>
        <w:rPr>
          <w:color w:val="333333"/>
        </w:rPr>
      </w:pPr>
      <w:r>
        <w:rPr>
          <w:color w:val="333333"/>
        </w:rPr>
        <w:t xml:space="preserve">Consequently, the third question states that "does the use of gloves among healthcare practitioners reduce the risks of healthcare-acquired infections?" in this case, the problem is healthcare-acquired infection, while the intervention is the use of gloves. </w:t>
      </w:r>
      <w:r w:rsidR="004B205E">
        <w:rPr>
          <w:color w:val="333333"/>
        </w:rPr>
        <w:t>Use of gloves prevents healthcare practitioners from interacting directly with the pathogens</w:t>
      </w:r>
      <w:r w:rsidR="00507B21">
        <w:rPr>
          <w:color w:val="333333"/>
        </w:rPr>
        <w:t xml:space="preserve"> (</w:t>
      </w:r>
      <w:r w:rsidR="00507B21">
        <w:rPr>
          <w:color w:val="222222"/>
          <w:shd w:val="clear" w:color="auto" w:fill="FFFFFF"/>
        </w:rPr>
        <w:t xml:space="preserve">Patterson et al., </w:t>
      </w:r>
      <w:r w:rsidR="00507B21" w:rsidRPr="00A2511A">
        <w:rPr>
          <w:color w:val="222222"/>
          <w:shd w:val="clear" w:color="auto" w:fill="FFFFFF"/>
        </w:rPr>
        <w:t>2017)</w:t>
      </w:r>
      <w:bookmarkStart w:id="0" w:name="_GoBack"/>
      <w:bookmarkEnd w:id="0"/>
      <w:r>
        <w:rPr>
          <w:color w:val="333333"/>
        </w:rPr>
        <w:t xml:space="preserve">. </w:t>
      </w:r>
      <w:r w:rsidR="004B205E">
        <w:rPr>
          <w:color w:val="333333"/>
        </w:rPr>
        <w:t xml:space="preserve">This implies that the use of gloves is an evidence-based measure of responding to the constraints of hospital acquired infections. </w:t>
      </w:r>
    </w:p>
    <w:p w:rsidR="00136C49" w:rsidRDefault="000237D8" w:rsidP="00136C49">
      <w:pPr>
        <w:pStyle w:val="NormalWeb"/>
        <w:shd w:val="clear" w:color="auto" w:fill="FFFFFF"/>
        <w:spacing w:after="0" w:line="480" w:lineRule="auto"/>
        <w:ind w:firstLine="720"/>
        <w:jc w:val="center"/>
        <w:rPr>
          <w:b/>
          <w:color w:val="333333"/>
        </w:rPr>
      </w:pPr>
      <w:r w:rsidRPr="00136C49">
        <w:rPr>
          <w:b/>
          <w:color w:val="333333"/>
        </w:rPr>
        <w:t>Conclusion</w:t>
      </w:r>
    </w:p>
    <w:p w:rsidR="00136C49" w:rsidRDefault="004B205E" w:rsidP="00F01759">
      <w:pPr>
        <w:pStyle w:val="NormalWeb"/>
        <w:shd w:val="clear" w:color="auto" w:fill="FFFFFF"/>
        <w:spacing w:after="0" w:line="480" w:lineRule="auto"/>
        <w:ind w:firstLine="720"/>
        <w:rPr>
          <w:color w:val="333333"/>
        </w:rPr>
      </w:pPr>
      <w:r>
        <w:rPr>
          <w:color w:val="333333"/>
        </w:rPr>
        <w:t xml:space="preserve">Responding to the questions in the PICOT framework can help in the determination of the viability of the intervention strategy. </w:t>
      </w:r>
      <w:r w:rsidR="000237D8">
        <w:rPr>
          <w:color w:val="333333"/>
        </w:rPr>
        <w:t xml:space="preserve">This paper has shown that the PICOT framework can be valuable in identifying the vital resources while researching evidence-based practice. </w:t>
      </w:r>
      <w:r>
        <w:rPr>
          <w:color w:val="333333"/>
        </w:rPr>
        <w:t>For instance, through the responses to the set questions, nursing practitioners can gain an insight into the benefits of the responsive measures</w:t>
      </w:r>
      <w:r w:rsidR="000237D8">
        <w:rPr>
          <w:color w:val="333333"/>
        </w:rPr>
        <w:t>.</w:t>
      </w:r>
      <w:r>
        <w:rPr>
          <w:color w:val="333333"/>
        </w:rPr>
        <w:t xml:space="preserve"> The PICOT questions have shown that there are different evidence-based approaches that can be used in responding to the constraints of healthcare-acquired infections. For instance, wearing of gloves, maintaining hygiene through </w:t>
      </w:r>
      <w:r>
        <w:rPr>
          <w:color w:val="333333"/>
        </w:rPr>
        <w:lastRenderedPageBreak/>
        <w:t xml:space="preserve">washing of hands and the use of antiseptics can help in reducing the levels of contact with disease causing germs. </w:t>
      </w:r>
    </w:p>
    <w:p w:rsidR="00A2511A" w:rsidRDefault="000237D8">
      <w:pPr>
        <w:rPr>
          <w:rFonts w:ascii="Times New Roman" w:eastAsia="Times New Roman" w:hAnsi="Times New Roman" w:cs="Times New Roman"/>
          <w:color w:val="333333"/>
          <w:sz w:val="24"/>
          <w:szCs w:val="24"/>
        </w:rPr>
      </w:pPr>
      <w:r>
        <w:rPr>
          <w:color w:val="333333"/>
        </w:rPr>
        <w:br w:type="page"/>
      </w:r>
    </w:p>
    <w:p w:rsidR="003B6EF2" w:rsidRDefault="000237D8" w:rsidP="00A2511A">
      <w:pPr>
        <w:pStyle w:val="NormalWeb"/>
        <w:shd w:val="clear" w:color="auto" w:fill="FFFFFF"/>
        <w:spacing w:after="0" w:line="480" w:lineRule="auto"/>
        <w:jc w:val="center"/>
        <w:rPr>
          <w:color w:val="333333"/>
        </w:rPr>
      </w:pPr>
      <w:r>
        <w:rPr>
          <w:color w:val="333333"/>
        </w:rPr>
        <w:lastRenderedPageBreak/>
        <w:t>References</w:t>
      </w:r>
    </w:p>
    <w:p w:rsidR="00A2511A" w:rsidRPr="00A2511A" w:rsidRDefault="000237D8" w:rsidP="00A2511A">
      <w:pPr>
        <w:pStyle w:val="NormalWeb"/>
        <w:shd w:val="clear" w:color="auto" w:fill="FFFFFF"/>
        <w:spacing w:after="0" w:line="480" w:lineRule="auto"/>
        <w:ind w:left="720" w:hanging="720"/>
        <w:rPr>
          <w:color w:val="222222"/>
          <w:shd w:val="clear" w:color="auto" w:fill="FFFFFF"/>
        </w:rPr>
      </w:pPr>
      <w:r w:rsidRPr="00A2511A">
        <w:rPr>
          <w:color w:val="222222"/>
          <w:shd w:val="clear" w:color="auto" w:fill="FFFFFF"/>
        </w:rPr>
        <w:t xml:space="preserve">Patterson, P. D., Higgins, J. S., Lang, E. S., Runyon, M. S., Barger, L. K., </w:t>
      </w:r>
      <w:proofErr w:type="spellStart"/>
      <w:r w:rsidRPr="00A2511A">
        <w:rPr>
          <w:color w:val="222222"/>
          <w:shd w:val="clear" w:color="auto" w:fill="FFFFFF"/>
        </w:rPr>
        <w:t>Studnek</w:t>
      </w:r>
      <w:proofErr w:type="spellEnd"/>
      <w:r w:rsidRPr="00A2511A">
        <w:rPr>
          <w:color w:val="222222"/>
          <w:shd w:val="clear" w:color="auto" w:fill="FFFFFF"/>
        </w:rPr>
        <w:t>, J. R., ... &amp; Weiss, P. M. (2017). Evidence-Based Guidelines for Fatigue Risk Management in EMS: Formulating Research Questions and Selecting Outcomes. </w:t>
      </w:r>
      <w:proofErr w:type="spellStart"/>
      <w:r w:rsidRPr="00A2511A">
        <w:rPr>
          <w:i/>
          <w:iCs/>
          <w:color w:val="222222"/>
          <w:shd w:val="clear" w:color="auto" w:fill="FFFFFF"/>
        </w:rPr>
        <w:t>Prehospital</w:t>
      </w:r>
      <w:proofErr w:type="spellEnd"/>
      <w:r w:rsidRPr="00A2511A">
        <w:rPr>
          <w:i/>
          <w:iCs/>
          <w:color w:val="222222"/>
          <w:shd w:val="clear" w:color="auto" w:fill="FFFFFF"/>
        </w:rPr>
        <w:t xml:space="preserve"> Emergency Care</w:t>
      </w:r>
      <w:r w:rsidRPr="00A2511A">
        <w:rPr>
          <w:color w:val="222222"/>
          <w:shd w:val="clear" w:color="auto" w:fill="FFFFFF"/>
        </w:rPr>
        <w:t>, </w:t>
      </w:r>
      <w:r w:rsidRPr="00A2511A">
        <w:rPr>
          <w:i/>
          <w:iCs/>
          <w:color w:val="222222"/>
          <w:shd w:val="clear" w:color="auto" w:fill="FFFFFF"/>
        </w:rPr>
        <w:t>21</w:t>
      </w:r>
      <w:r w:rsidRPr="00A2511A">
        <w:rPr>
          <w:color w:val="222222"/>
          <w:shd w:val="clear" w:color="auto" w:fill="FFFFFF"/>
        </w:rPr>
        <w:t>(2), 149-156.</w:t>
      </w:r>
    </w:p>
    <w:p w:rsidR="00A2511A" w:rsidRPr="00A2511A" w:rsidRDefault="000237D8" w:rsidP="00A2511A">
      <w:pPr>
        <w:pStyle w:val="NormalWeb"/>
        <w:shd w:val="clear" w:color="auto" w:fill="FFFFFF"/>
        <w:spacing w:after="0" w:line="480" w:lineRule="auto"/>
        <w:ind w:left="720" w:hanging="720"/>
        <w:rPr>
          <w:color w:val="333333"/>
        </w:rPr>
      </w:pPr>
      <w:proofErr w:type="spellStart"/>
      <w:proofErr w:type="gramStart"/>
      <w:r w:rsidRPr="00A2511A">
        <w:rPr>
          <w:color w:val="222222"/>
          <w:shd w:val="clear" w:color="auto" w:fill="FFFFFF"/>
        </w:rPr>
        <w:t>Znaidi</w:t>
      </w:r>
      <w:proofErr w:type="spellEnd"/>
      <w:r w:rsidRPr="00A2511A">
        <w:rPr>
          <w:color w:val="222222"/>
          <w:shd w:val="clear" w:color="auto" w:fill="FFFFFF"/>
        </w:rPr>
        <w:t xml:space="preserve">, E., </w:t>
      </w:r>
      <w:proofErr w:type="spellStart"/>
      <w:r w:rsidRPr="00A2511A">
        <w:rPr>
          <w:color w:val="222222"/>
          <w:shd w:val="clear" w:color="auto" w:fill="FFFFFF"/>
        </w:rPr>
        <w:t>Tamine</w:t>
      </w:r>
      <w:proofErr w:type="spellEnd"/>
      <w:r w:rsidRPr="00A2511A">
        <w:rPr>
          <w:color w:val="222222"/>
          <w:shd w:val="clear" w:color="auto" w:fill="FFFFFF"/>
        </w:rPr>
        <w:t xml:space="preserve">, L., &amp; </w:t>
      </w:r>
      <w:proofErr w:type="spellStart"/>
      <w:r w:rsidRPr="00A2511A">
        <w:rPr>
          <w:color w:val="222222"/>
          <w:shd w:val="clear" w:color="auto" w:fill="FFFFFF"/>
        </w:rPr>
        <w:t>Latiri</w:t>
      </w:r>
      <w:proofErr w:type="spellEnd"/>
      <w:r w:rsidRPr="00A2511A">
        <w:rPr>
          <w:color w:val="222222"/>
          <w:shd w:val="clear" w:color="auto" w:fill="FFFFFF"/>
        </w:rPr>
        <w:t>, C. (2015, June).</w:t>
      </w:r>
      <w:proofErr w:type="gramEnd"/>
      <w:r w:rsidRPr="00A2511A">
        <w:rPr>
          <w:color w:val="222222"/>
          <w:shd w:val="clear" w:color="auto" w:fill="FFFFFF"/>
        </w:rPr>
        <w:t xml:space="preserve"> </w:t>
      </w:r>
      <w:proofErr w:type="gramStart"/>
      <w:r w:rsidRPr="00A2511A">
        <w:rPr>
          <w:color w:val="222222"/>
          <w:shd w:val="clear" w:color="auto" w:fill="FFFFFF"/>
        </w:rPr>
        <w:t>Answering PICO clinical questions: a semantic graph-based approach.</w:t>
      </w:r>
      <w:proofErr w:type="gramEnd"/>
      <w:r w:rsidRPr="00A2511A">
        <w:rPr>
          <w:color w:val="222222"/>
          <w:shd w:val="clear" w:color="auto" w:fill="FFFFFF"/>
        </w:rPr>
        <w:t xml:space="preserve"> </w:t>
      </w:r>
      <w:proofErr w:type="gramStart"/>
      <w:r w:rsidRPr="00A2511A">
        <w:rPr>
          <w:color w:val="222222"/>
          <w:shd w:val="clear" w:color="auto" w:fill="FFFFFF"/>
        </w:rPr>
        <w:t>In </w:t>
      </w:r>
      <w:r w:rsidRPr="00A2511A">
        <w:rPr>
          <w:i/>
          <w:iCs/>
          <w:color w:val="222222"/>
          <w:shd w:val="clear" w:color="auto" w:fill="FFFFFF"/>
        </w:rPr>
        <w:t>Conference on Artificial Intelligence in Medicine in Europe</w:t>
      </w:r>
      <w:r w:rsidRPr="00A2511A">
        <w:rPr>
          <w:color w:val="222222"/>
          <w:shd w:val="clear" w:color="auto" w:fill="FFFFFF"/>
        </w:rPr>
        <w:t> (pp. 232-237).</w:t>
      </w:r>
      <w:proofErr w:type="gramEnd"/>
      <w:r w:rsidRPr="00A2511A">
        <w:rPr>
          <w:color w:val="222222"/>
          <w:shd w:val="clear" w:color="auto" w:fill="FFFFFF"/>
        </w:rPr>
        <w:t xml:space="preserve"> </w:t>
      </w:r>
      <w:proofErr w:type="gramStart"/>
      <w:r w:rsidRPr="00A2511A">
        <w:rPr>
          <w:color w:val="222222"/>
          <w:shd w:val="clear" w:color="auto" w:fill="FFFFFF"/>
        </w:rPr>
        <w:t>Springer, Cham.</w:t>
      </w:r>
      <w:proofErr w:type="gramEnd"/>
    </w:p>
    <w:sectPr w:rsidR="00A2511A" w:rsidRPr="00A2511A" w:rsidSect="002776F1">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BC9BBF20" w15:done="0"/>
  <w15:commentEx w15:paraId="D700A7A8" w15:done="0"/>
  <w15:commentEx w15:paraId="04C2513A" w15:done="0"/>
  <w15:commentEx w15:paraId="0C02E609" w15:done="0"/>
  <w15:commentEx w15:paraId="4C17372B" w15:done="0"/>
  <w15:commentEx w15:paraId="1E2FE7E0" w15:done="0"/>
  <w15:commentEx w15:paraId="934AD13E" w15:done="0"/>
  <w15:commentEx w15:paraId="83C2E8D3" w15:done="0"/>
  <w15:commentEx w15:paraId="03DFC290" w15:done="0"/>
  <w15:commentEx w15:paraId="B328A9D9" w15:done="0"/>
  <w15:commentEx w15:paraId="0F334164" w15:done="0"/>
  <w15:commentEx w15:paraId="C670D8A1" w15:done="0"/>
  <w15:commentEx w15:paraId="24BDA217" w15:done="0"/>
  <w15:commentEx w15:paraId="EA0DFC9A" w15:done="0"/>
  <w15:commentEx w15:paraId="12C7F4EA" w15:done="0"/>
  <w15:commentEx w15:paraId="B935672C" w15:done="0"/>
  <w15:commentEx w15:paraId="45047467" w15:done="0"/>
  <w15:commentEx w15:paraId="28C7C2A4" w15:done="0"/>
  <w15:commentEx w15:paraId="E1F5ABB6" w15:done="0"/>
  <w15:commentEx w15:paraId="C1FF0747" w15:done="0"/>
  <w15:commentEx w15:paraId="22D7ACD7" w15:done="0"/>
  <w15:commentEx w15:paraId="95B469CC" w15:done="0"/>
  <w15:commentEx w15:paraId="4028AE5B" w15:done="0"/>
  <w15:commentEx w15:paraId="6576DD38"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4ECF" w:rsidRDefault="00D34ECF">
      <w:pPr>
        <w:spacing w:after="0" w:line="240" w:lineRule="auto"/>
      </w:pPr>
      <w:r>
        <w:separator/>
      </w:r>
    </w:p>
  </w:endnote>
  <w:endnote w:type="continuationSeparator" w:id="0">
    <w:p w:rsidR="00D34ECF" w:rsidRDefault="00D34E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4ECF" w:rsidRDefault="00D34ECF">
      <w:pPr>
        <w:spacing w:after="0" w:line="240" w:lineRule="auto"/>
      </w:pPr>
      <w:r>
        <w:separator/>
      </w:r>
    </w:p>
  </w:footnote>
  <w:footnote w:type="continuationSeparator" w:id="0">
    <w:p w:rsidR="00D34ECF" w:rsidRDefault="00D34E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0237D8">
    <w:pPr>
      <w:pStyle w:val="Header"/>
      <w:rPr>
        <w:rFonts w:ascii="Times New Roman" w:hAnsi="Times New Roman" w:cs="Times New Roman"/>
        <w:sz w:val="24"/>
        <w:szCs w:val="24"/>
      </w:rPr>
    </w:pPr>
    <w:r>
      <w:rPr>
        <w:rFonts w:ascii="Times New Roman" w:hAnsi="Times New Roman" w:cs="Times New Roman"/>
        <w:sz w:val="24"/>
        <w:szCs w:val="24"/>
      </w:rPr>
      <w:t xml:space="preserve">PICOT QUESTIONS                                                     </w:t>
    </w:r>
    <w:r>
      <w:rPr>
        <w:rFonts w:ascii="Times New Roman" w:hAnsi="Times New Roman" w:cs="Times New Roman"/>
        <w:sz w:val="24"/>
        <w:szCs w:val="24"/>
      </w:rPr>
      <w:tab/>
    </w:r>
    <w:r w:rsidR="001C23CD"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1C23CD" w:rsidRPr="002776F1">
      <w:rPr>
        <w:rFonts w:ascii="Times New Roman" w:hAnsi="Times New Roman" w:cs="Times New Roman"/>
        <w:sz w:val="24"/>
        <w:szCs w:val="24"/>
      </w:rPr>
      <w:fldChar w:fldCharType="separate"/>
    </w:r>
    <w:r w:rsidR="00ED1E6B">
      <w:rPr>
        <w:rFonts w:ascii="Times New Roman" w:hAnsi="Times New Roman" w:cs="Times New Roman"/>
        <w:noProof/>
        <w:sz w:val="24"/>
        <w:szCs w:val="24"/>
      </w:rPr>
      <w:t>2</w:t>
    </w:r>
    <w:r w:rsidR="001C23CD" w:rsidRPr="002776F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6F1" w:rsidRPr="002776F1" w:rsidRDefault="000237D8">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PICOT QUESTIONS                   </w:t>
    </w:r>
    <w:r w:rsidRPr="002776F1">
      <w:rPr>
        <w:rFonts w:ascii="Times New Roman" w:hAnsi="Times New Roman" w:cs="Times New Roman"/>
        <w:sz w:val="24"/>
        <w:szCs w:val="24"/>
      </w:rPr>
      <w:tab/>
    </w:r>
    <w:r w:rsidR="001C23CD"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1C23CD" w:rsidRPr="002776F1">
      <w:rPr>
        <w:rFonts w:ascii="Times New Roman" w:hAnsi="Times New Roman" w:cs="Times New Roman"/>
        <w:sz w:val="24"/>
        <w:szCs w:val="24"/>
      </w:rPr>
      <w:fldChar w:fldCharType="separate"/>
    </w:r>
    <w:r w:rsidR="00ED1E6B">
      <w:rPr>
        <w:rFonts w:ascii="Times New Roman" w:hAnsi="Times New Roman" w:cs="Times New Roman"/>
        <w:noProof/>
        <w:sz w:val="24"/>
        <w:szCs w:val="24"/>
      </w:rPr>
      <w:t>1</w:t>
    </w:r>
    <w:r w:rsidR="001C23CD" w:rsidRPr="002776F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7A0NDE1NzYyMDE3tzBU0lEKTi0uzszPAykwqwUAMqVHWSwAAAA="/>
  </w:docVars>
  <w:rsids>
    <w:rsidRoot w:val="003C7883"/>
    <w:rsid w:val="000237D8"/>
    <w:rsid w:val="000A19AE"/>
    <w:rsid w:val="001C23CD"/>
    <w:rsid w:val="003300B8"/>
    <w:rsid w:val="003C7883"/>
    <w:rsid w:val="004B205E"/>
    <w:rsid w:val="00507B21"/>
    <w:rsid w:val="00BA666D"/>
    <w:rsid w:val="00BE1042"/>
    <w:rsid w:val="00D34ECF"/>
    <w:rsid w:val="00ED1E6B"/>
    <w:rsid w:val="00F478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3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C23CD"/>
    <w:pPr>
      <w:spacing w:line="240" w:lineRule="auto"/>
    </w:pPr>
    <w:rPr>
      <w:sz w:val="20"/>
      <w:szCs w:val="20"/>
    </w:rPr>
  </w:style>
  <w:style w:type="character" w:customStyle="1" w:styleId="CommentTextChar">
    <w:name w:val="Comment Text Char"/>
    <w:basedOn w:val="DefaultParagraphFont"/>
    <w:link w:val="CommentText"/>
    <w:uiPriority w:val="99"/>
    <w:semiHidden/>
    <w:rsid w:val="001C23CD"/>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46C5D-FDA6-4DEA-ACA4-3A56A93DA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FRANK</cp:lastModifiedBy>
  <cp:revision>2</cp:revision>
  <dcterms:created xsi:type="dcterms:W3CDTF">2018-01-21T21:58:00Z</dcterms:created>
  <dcterms:modified xsi:type="dcterms:W3CDTF">2018-01-21T21:58:00Z</dcterms:modified>
</cp:coreProperties>
</file>